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JDEData.bin" ContentType="application/octet-stream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关于《台州市</w:t>
      </w:r>
      <w:r>
        <w:rPr>
          <w:rFonts w:hint="eastAsia" w:ascii="Times New Roman" w:hAnsi="Times New Roman" w:eastAsia="方正小标宋简体"/>
          <w:sz w:val="44"/>
          <w:szCs w:val="44"/>
        </w:rPr>
        <w:t>未来汽车城发展规划</w:t>
      </w:r>
      <w:r>
        <w:rPr>
          <w:rFonts w:ascii="Times New Roman" w:hAnsi="Times New Roman" w:eastAsia="方正小标宋简体"/>
          <w:sz w:val="44"/>
          <w:szCs w:val="44"/>
        </w:rPr>
        <w:t>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  <w:lang w:eastAsia="zh-CN"/>
        </w:rPr>
      </w:pPr>
      <w:r>
        <w:rPr>
          <w:rFonts w:ascii="Times New Roman" w:hAnsi="Times New Roman" w:eastAsia="方正小标宋简体"/>
          <w:sz w:val="44"/>
          <w:szCs w:val="44"/>
        </w:rPr>
        <w:t>起草</w:t>
      </w:r>
      <w:r>
        <w:rPr>
          <w:rFonts w:hint="eastAsia" w:ascii="Times New Roman" w:hAnsi="Times New Roman" w:eastAsia="方正小标宋简体"/>
          <w:sz w:val="44"/>
          <w:szCs w:val="44"/>
          <w:lang w:eastAsia="zh-CN"/>
        </w:rPr>
        <w:t>说明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一、关于起草背景及过程</w:t>
      </w:r>
    </w:p>
    <w:p>
      <w:pPr>
        <w:pStyle w:val="7"/>
        <w:spacing w:line="580" w:lineRule="exact"/>
        <w:ind w:firstLine="640" w:firstLineChars="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台州是浙江省温台沿海汽车产业带的核心，汽车产业基础深厚，是中国民营汽车制造第一城、国家汽车及零部件出口基地、中国汽车用品制造基地，曾引领了国产自主品牌汽车发展。谋划布局未来汽车城是台州牢牢把握新能源汽车快速发展机遇期，加快汽车产业电动化智能化转型、优化产业布局、完善新能源汽车产业生态的重要举措，也是加快台州临港产业带布局建设的重要支撑，对推动汽车产业规模和效益双提升、带动台州经济高质量发展、助推共同富裕先行市建设具有重要意义。</w:t>
      </w:r>
    </w:p>
    <w:p>
      <w:pPr>
        <w:pStyle w:val="7"/>
        <w:spacing w:line="580" w:lineRule="exact"/>
        <w:ind w:firstLine="640" w:firstLineChars="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根据市领导要求，我们第一时间开展资料查阅、现场调研</w:t>
      </w:r>
      <w:r>
        <w:rPr>
          <w:rFonts w:hint="eastAsia" w:eastAsia="仿宋_GB2312"/>
          <w:sz w:val="32"/>
          <w:szCs w:val="32"/>
          <w:lang w:eastAsia="zh-CN"/>
        </w:rPr>
        <w:t>、反复研究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起草制定了</w:t>
      </w:r>
      <w:r>
        <w:rPr>
          <w:rFonts w:hint="eastAsia" w:eastAsia="仿宋_GB2312"/>
          <w:sz w:val="32"/>
          <w:szCs w:val="32"/>
        </w:rPr>
        <w:t>《台州市未来汽车城发展规划》</w:t>
      </w:r>
      <w:r>
        <w:rPr>
          <w:rFonts w:hint="eastAsia" w:eastAsia="仿宋_GB2312"/>
          <w:sz w:val="32"/>
          <w:szCs w:val="32"/>
          <w:lang w:eastAsia="zh-CN"/>
        </w:rPr>
        <w:t>（征求意见稿）（以下简称《规划》）</w:t>
      </w:r>
      <w:r>
        <w:rPr>
          <w:rFonts w:hint="eastAsia" w:eastAsia="仿宋_GB2312"/>
          <w:sz w:val="32"/>
          <w:szCs w:val="32"/>
        </w:rPr>
        <w:t>。期间，</w:t>
      </w:r>
      <w:r>
        <w:rPr>
          <w:rFonts w:hint="eastAsia" w:eastAsia="仿宋_GB2312"/>
          <w:sz w:val="32"/>
          <w:szCs w:val="32"/>
          <w:lang w:eastAsia="zh-CN"/>
        </w:rPr>
        <w:t>市领导</w:t>
      </w:r>
      <w:r>
        <w:rPr>
          <w:rFonts w:hint="eastAsia" w:eastAsia="仿宋_GB2312"/>
          <w:sz w:val="32"/>
          <w:szCs w:val="32"/>
        </w:rPr>
        <w:t>多次听取《</w:t>
      </w:r>
      <w:r>
        <w:rPr>
          <w:rFonts w:hint="eastAsia" w:eastAsia="仿宋_GB2312"/>
          <w:sz w:val="32"/>
          <w:szCs w:val="32"/>
          <w:lang w:eastAsia="zh-CN"/>
        </w:rPr>
        <w:t>规划</w:t>
      </w:r>
      <w:r>
        <w:rPr>
          <w:rFonts w:hint="eastAsia" w:eastAsia="仿宋_GB2312"/>
          <w:sz w:val="32"/>
          <w:szCs w:val="32"/>
        </w:rPr>
        <w:t>》起草情况汇报</w:t>
      </w:r>
      <w:r>
        <w:rPr>
          <w:rFonts w:hint="eastAsia" w:eastAsia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3月30日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6月16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  <w:r>
        <w:rPr>
          <w:rFonts w:hint="eastAsia" w:eastAsia="仿宋_GB2312"/>
          <w:sz w:val="32"/>
          <w:szCs w:val="32"/>
        </w:rPr>
        <w:t>吴</w:t>
      </w:r>
      <w:r>
        <w:rPr>
          <w:rFonts w:hint="eastAsia" w:eastAsia="仿宋_GB2312"/>
          <w:sz w:val="32"/>
          <w:szCs w:val="32"/>
          <w:lang w:eastAsia="zh-CN"/>
        </w:rPr>
        <w:t>晓东</w:t>
      </w:r>
      <w:r>
        <w:rPr>
          <w:rFonts w:hint="eastAsia" w:eastAsia="仿宋_GB2312"/>
          <w:sz w:val="32"/>
          <w:szCs w:val="32"/>
        </w:rPr>
        <w:t>市长听取《规划》</w:t>
      </w:r>
      <w:r>
        <w:rPr>
          <w:rFonts w:hint="eastAsia" w:eastAsia="仿宋_GB2312"/>
          <w:sz w:val="32"/>
          <w:szCs w:val="32"/>
          <w:lang w:eastAsia="zh-CN"/>
        </w:rPr>
        <w:t>汇报</w:t>
      </w:r>
      <w:r>
        <w:rPr>
          <w:rFonts w:hint="eastAsia" w:eastAsia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5月7日、6月23</w:t>
      </w:r>
      <w:r>
        <w:rPr>
          <w:rFonts w:hint="eastAsia" w:eastAsia="仿宋_GB2312"/>
          <w:sz w:val="32"/>
          <w:szCs w:val="32"/>
          <w:lang w:val="en-US" w:eastAsia="zh-CN"/>
        </w:rPr>
        <w:t>日，</w:t>
      </w:r>
      <w:r>
        <w:rPr>
          <w:rFonts w:hint="eastAsia" w:eastAsia="仿宋_GB2312"/>
          <w:sz w:val="32"/>
          <w:szCs w:val="32"/>
          <w:lang w:eastAsia="zh-CN"/>
        </w:rPr>
        <w:t>苗文斌</w:t>
      </w:r>
      <w:r>
        <w:rPr>
          <w:rFonts w:hint="eastAsia" w:eastAsia="仿宋_GB2312"/>
          <w:sz w:val="32"/>
          <w:szCs w:val="32"/>
        </w:rPr>
        <w:t>副市长听取《规划》汇报，指导规划编制工作。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5月19</w:t>
      </w:r>
      <w:r>
        <w:rPr>
          <w:rFonts w:hint="eastAsia" w:eastAsia="仿宋_GB2312"/>
          <w:sz w:val="32"/>
          <w:szCs w:val="32"/>
          <w:lang w:val="en-US" w:eastAsia="zh-CN"/>
        </w:rPr>
        <w:t>日，向有关县（市、区）政府、市级有关单位、</w:t>
      </w:r>
      <w:r>
        <w:rPr>
          <w:rFonts w:hint="eastAsia" w:eastAsia="仿宋_GB2312"/>
          <w:sz w:val="32"/>
          <w:szCs w:val="32"/>
          <w:lang w:eastAsia="zh-CN"/>
        </w:rPr>
        <w:t>重点企业</w:t>
      </w:r>
      <w:r>
        <w:rPr>
          <w:rFonts w:hint="eastAsia" w:eastAsia="仿宋_GB2312"/>
          <w:sz w:val="32"/>
          <w:szCs w:val="32"/>
          <w:lang w:val="en-US" w:eastAsia="zh-CN"/>
        </w:rPr>
        <w:t>书等征求意见，</w:t>
      </w:r>
      <w:r>
        <w:rPr>
          <w:rFonts w:hint="eastAsia" w:eastAsia="仿宋_GB2312"/>
          <w:sz w:val="32"/>
          <w:szCs w:val="32"/>
          <w:lang w:eastAsia="zh-CN"/>
        </w:rPr>
        <w:t>根据各方意见，我们对《规划》作了多次修改完善，</w:t>
      </w:r>
      <w:r>
        <w:rPr>
          <w:rFonts w:hint="eastAsia" w:eastAsia="仿宋_GB2312"/>
          <w:sz w:val="32"/>
          <w:szCs w:val="32"/>
        </w:rPr>
        <w:t>形成</w:t>
      </w:r>
      <w:r>
        <w:rPr>
          <w:rFonts w:hint="eastAsia" w:eastAsia="仿宋_GB2312"/>
          <w:sz w:val="32"/>
          <w:szCs w:val="32"/>
          <w:lang w:eastAsia="zh-CN"/>
        </w:rPr>
        <w:t>公开征求意见稿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二、主要内容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仿宋_GB2312"/>
          <w:color w:val="000000"/>
          <w:sz w:val="32"/>
          <w:szCs w:val="36"/>
        </w:rPr>
        <w:t>《规划》共包括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六</w:t>
      </w:r>
      <w:r>
        <w:rPr>
          <w:rFonts w:ascii="Times New Roman" w:hAnsi="Times New Roman" w:eastAsia="仿宋_GB2312"/>
          <w:color w:val="000000"/>
          <w:sz w:val="32"/>
          <w:szCs w:val="36"/>
        </w:rPr>
        <w:t>个部分，即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现实基础</w:t>
      </w:r>
      <w:r>
        <w:rPr>
          <w:rFonts w:ascii="Times New Roman" w:hAnsi="Times New Roman" w:eastAsia="仿宋_GB2312"/>
          <w:color w:val="000000"/>
          <w:sz w:val="32"/>
          <w:szCs w:val="36"/>
        </w:rPr>
        <w:t>、总体要求、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空间布局、产业导向、优化产业生态和</w:t>
      </w:r>
      <w:r>
        <w:rPr>
          <w:rFonts w:ascii="Times New Roman" w:hAnsi="Times New Roman" w:eastAsia="仿宋_GB2312"/>
          <w:color w:val="000000"/>
          <w:sz w:val="32"/>
          <w:szCs w:val="36"/>
        </w:rPr>
        <w:t>保障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措施</w:t>
      </w:r>
      <w:r>
        <w:rPr>
          <w:rFonts w:ascii="Times New Roman" w:hAnsi="Times New Roman" w:eastAsia="仿宋_GB2312"/>
          <w:color w:val="000000"/>
          <w:sz w:val="32"/>
          <w:szCs w:val="36"/>
        </w:rPr>
        <w:t>。其中：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楷体_GB2312"/>
          <w:bCs/>
          <w:color w:val="000000"/>
          <w:sz w:val="32"/>
          <w:szCs w:val="36"/>
        </w:rPr>
        <w:t>第一部分“</w:t>
      </w: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现实基础</w:t>
      </w:r>
      <w:r>
        <w:rPr>
          <w:rFonts w:ascii="Times New Roman" w:hAnsi="Times New Roman" w:eastAsia="楷体_GB2312"/>
          <w:bCs/>
          <w:color w:val="000000"/>
          <w:sz w:val="32"/>
          <w:szCs w:val="36"/>
        </w:rPr>
        <w:t>”。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分析梳理了台州汽车产业发展脉络和基础优势，在对标省内汽车强市的基础上总结台州汽车产业发展存在的问题，并研判了未来汽车产业发展面临的机遇挑战。规划指出台州汽车产业历经“开创期-成长期-提升期-跃升期-转型期”五个阶段，正向电动化、零碳化积极转型，产业基础稳固、产业集群特色鲜明、创新生态持续完善，应抢抓汽车产业转型发展新契机、市场新空间、政策新机遇，应对产业竞争、供应链风险等挑战，提升产业层次、加快新能源转型发展、提高创新集成能力、加快培育企业梯队、适时突破产能限制，推动汽车产业“量增质升”。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楷体_GB2312"/>
          <w:bCs/>
          <w:color w:val="000000"/>
          <w:sz w:val="32"/>
          <w:szCs w:val="36"/>
        </w:rPr>
        <w:t>第二部分“总体要求”。</w:t>
      </w:r>
      <w:r>
        <w:rPr>
          <w:rFonts w:ascii="Times New Roman" w:hAnsi="Times New Roman" w:eastAsia="仿宋_GB2312"/>
          <w:color w:val="000000"/>
          <w:sz w:val="32"/>
          <w:szCs w:val="36"/>
        </w:rPr>
        <w:t>包括指导思想、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发展</w:t>
      </w:r>
      <w:r>
        <w:rPr>
          <w:rFonts w:ascii="Times New Roman" w:hAnsi="Times New Roman" w:eastAsia="仿宋_GB2312"/>
          <w:color w:val="000000"/>
          <w:sz w:val="32"/>
          <w:szCs w:val="36"/>
        </w:rPr>
        <w:t>原则、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战略定位、主要</w:t>
      </w:r>
      <w:r>
        <w:rPr>
          <w:rFonts w:ascii="Times New Roman" w:hAnsi="Times New Roman" w:eastAsia="仿宋_GB2312"/>
          <w:color w:val="000000"/>
          <w:sz w:val="32"/>
          <w:szCs w:val="36"/>
        </w:rPr>
        <w:t>目标等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四</w:t>
      </w:r>
      <w:r>
        <w:rPr>
          <w:rFonts w:ascii="Times New Roman" w:hAnsi="Times New Roman" w:eastAsia="仿宋_GB2312"/>
          <w:color w:val="000000"/>
          <w:sz w:val="32"/>
          <w:szCs w:val="36"/>
        </w:rPr>
        <w:t>方面，提出要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锚定世界知名、全球一流，打造智能产品引领、高端品牌驱动、全链创新集成、产城零碳示范的未来汽车城，坚持融合发展、智慧发展、绿色发展、开放发展四大原则，着力打造未来汽车产业创新集聚区、国际新能源高端品牌集聚区、全国汽配产业转型提升示范区。规划确定了</w:t>
      </w:r>
      <w:r>
        <w:rPr>
          <w:rFonts w:hint="eastAsia" w:ascii="仿宋_GB2312" w:hAnsi="仿宋_GB2312" w:eastAsia="仿宋_GB2312" w:cs="仿宋_GB2312"/>
          <w:color w:val="000000"/>
          <w:sz w:val="32"/>
          <w:szCs w:val="36"/>
        </w:rPr>
        <w:t>2026年建设的具体目标和2030年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远景目标。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楷体_GB2312"/>
          <w:bCs/>
          <w:color w:val="000000"/>
          <w:sz w:val="32"/>
          <w:szCs w:val="36"/>
        </w:rPr>
        <w:t>第三部分“</w:t>
      </w: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空间布局</w:t>
      </w:r>
      <w:r>
        <w:rPr>
          <w:rFonts w:ascii="Times New Roman" w:hAnsi="Times New Roman" w:eastAsia="楷体_GB2312"/>
          <w:bCs/>
          <w:color w:val="000000"/>
          <w:sz w:val="32"/>
          <w:szCs w:val="36"/>
        </w:rPr>
        <w:t>”。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规划提出构建“一核多点”的未来汽车城产业发展总体布局。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“一核”即未来汽车城发展核心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以台州湾新区南部、台州湾经济技术开发区东部、温岭经济开发区北部为核心区，连片打造产创联动、整零协同、要素集聚的未来汽车城发展核心，推动新能源汽车产业加速做大做强，辐射带动全市汽车产业高质量发展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“多点”即汽车产业创新提升联动节点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立足玉环、黄岩、仙居、天台、椒江、三门等地汽车零部件产业优势基础，着力提升产业技术实力和创新能力，形成体系化布局、专业化发展的汽车特色及关键零部件生产基地，协同推动全市汽车产业高质量发展。</w:t>
      </w:r>
    </w:p>
    <w:p>
      <w:pPr>
        <w:jc w:val="center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仿宋_GB2312"/>
          <w:color w:val="000000"/>
          <w:sz w:val="32"/>
          <w:szCs w:val="36"/>
        </w:rPr>
        <w:drawing>
          <wp:inline distT="0" distB="0" distL="0" distR="0">
            <wp:extent cx="4498975" cy="3462655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8975" cy="3462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台州未来汽车城产业发展总体布局</w:t>
      </w:r>
      <w:r>
        <w:rPr>
          <w:rFonts w:ascii="黑体" w:hAnsi="黑体" w:eastAsia="黑体"/>
          <w:sz w:val="24"/>
        </w:rPr>
        <w:softHyphen/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楷体_GB2312"/>
          <w:bCs/>
          <w:color w:val="000000"/>
          <w:sz w:val="32"/>
          <w:szCs w:val="36"/>
        </w:rPr>
        <w:t>第</w:t>
      </w: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四</w:t>
      </w:r>
      <w:r>
        <w:rPr>
          <w:rFonts w:ascii="Times New Roman" w:hAnsi="Times New Roman" w:eastAsia="楷体_GB2312"/>
          <w:bCs/>
          <w:color w:val="000000"/>
          <w:sz w:val="32"/>
          <w:szCs w:val="36"/>
        </w:rPr>
        <w:t>部分“</w:t>
      </w: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产业导向</w:t>
      </w:r>
      <w:r>
        <w:rPr>
          <w:rFonts w:ascii="Times New Roman" w:hAnsi="Times New Roman" w:eastAsia="楷体_GB2312"/>
          <w:bCs/>
          <w:color w:val="000000"/>
          <w:sz w:val="32"/>
          <w:szCs w:val="36"/>
        </w:rPr>
        <w:t>”。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规划提出以高端品牌新能源整车为核心，发挥整车产业对产业链的整合提升作用，实现传统汽车零部件低碳节能转型、特色零部件高端化集成化提升，加快布局发展新能源汽车关键零部件和前沿汽车零部件，延伸布局以数字化为特色的汽车新服务体系，构建新型汽车产业生态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一是做大高端新能源智能汽车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，重点主攻高端新能源乘用车，着力发展新能源商用车和专用车，加快发展智能网联汽车。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二是做强“专精特新”关键零部件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全面布局新能源汽车关键零部件，着力发展动力电池，突破驱动电机及电控，做优新能源汽车热管理系统；推动传统汽车零部件低碳节能转型，提升传统动力总成节能水平，加快模具及内外饰绿色低碳发展，提升机械加工环保水平；支持特色零部件高端化集成化提升，做优底盘系统集成，推动汽车电子集成化发展；创新发展前沿汽车零部件，布局智能网联关键零部件，积极布局发展车规级芯片，前瞻布局氢燃料电池领域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三是做优汽车新服务体系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，提升研发设计检测服务能力，发展汽车大数据服务，构建汽车物流大通道，持续做强汽车后市场服务。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ascii="Times New Roman" w:hAnsi="Times New Roman" w:eastAsia="楷体_GB2312"/>
          <w:bCs/>
          <w:color w:val="000000"/>
          <w:sz w:val="32"/>
          <w:szCs w:val="36"/>
        </w:rPr>
        <w:t>第</w:t>
      </w: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五</w:t>
      </w:r>
      <w:r>
        <w:rPr>
          <w:rFonts w:ascii="Times New Roman" w:hAnsi="Times New Roman" w:eastAsia="楷体_GB2312"/>
          <w:bCs/>
          <w:color w:val="000000"/>
          <w:sz w:val="32"/>
          <w:szCs w:val="36"/>
        </w:rPr>
        <w:t>部分“</w:t>
      </w: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优化产业生态</w:t>
      </w:r>
      <w:r>
        <w:rPr>
          <w:rFonts w:ascii="Times New Roman" w:hAnsi="Times New Roman" w:eastAsia="楷体_GB2312"/>
          <w:bCs/>
          <w:color w:val="000000"/>
          <w:sz w:val="32"/>
          <w:szCs w:val="36"/>
        </w:rPr>
        <w:t>”。</w:t>
      </w:r>
      <w:r>
        <w:rPr>
          <w:rFonts w:hint="eastAsia" w:ascii="Times New Roman" w:hAnsi="Times New Roman" w:eastAsia="仿宋_GB2312"/>
          <w:sz w:val="32"/>
          <w:szCs w:val="36"/>
        </w:rPr>
        <w:t>分别从创新、企业培育、产业竞争力、零碳发展、提升影响力、培育融合业态和重大项目落地等方面，明确了重点任务。</w:t>
      </w:r>
      <w:r>
        <w:rPr>
          <w:rFonts w:hint="eastAsia" w:ascii="Times New Roman" w:hAnsi="Times New Roman" w:eastAsia="仿宋_GB2312"/>
          <w:b/>
          <w:bCs/>
          <w:sz w:val="32"/>
          <w:szCs w:val="36"/>
        </w:rPr>
        <w:t>强化创新策源能力方面</w:t>
      </w:r>
      <w:r>
        <w:rPr>
          <w:rFonts w:hint="eastAsia" w:ascii="Times New Roman" w:hAnsi="Times New Roman" w:eastAsia="仿宋_GB2312"/>
          <w:sz w:val="32"/>
          <w:szCs w:val="36"/>
        </w:rPr>
        <w:t>，要构建整车技术创新链，加快关键核心技术攻关突破，推进高能级创新载体建设，强化汽车产业人才引陪。</w:t>
      </w:r>
      <w:r>
        <w:rPr>
          <w:rFonts w:hint="eastAsia" w:ascii="Times New Roman" w:hAnsi="Times New Roman" w:eastAsia="仿宋_GB2312"/>
          <w:b/>
          <w:bCs/>
          <w:sz w:val="32"/>
          <w:szCs w:val="36"/>
        </w:rPr>
        <w:t>加强企业主体培育方面，</w:t>
      </w:r>
      <w:r>
        <w:rPr>
          <w:rFonts w:hint="eastAsia" w:ascii="Times New Roman" w:hAnsi="Times New Roman" w:eastAsia="仿宋_GB2312"/>
          <w:sz w:val="32"/>
          <w:szCs w:val="36"/>
        </w:rPr>
        <w:t>要重点加强生态主导型企业培育，壮大细分领域重点企业，支持高新技术企业发展，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培育上下游协同创新、大中小企业融通发展的汽车企业群。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加快提升产业竞争力方面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，重点提升整零协同能力，大力发展智能制造，引导质量品牌提升。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深入推进零碳发展方面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，要率先构建零碳产业链，积极打造零碳产业园，促进未来汽车城产业结构低碳化。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提升未来汽车城影响力方面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，坚持“以产兴城”，持续提升未来汽车城产业集聚水平，持续打造生产、生活、生态“三生融合”的未来汽车城，打造智慧化低碳化汽车城市标杆，培育汽车文化。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持续培育融合业态方面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，持续开展新能源汽车推广应用，加快产业与多领域高效融合，促进汽车产业开放合作。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6"/>
        </w:rPr>
        <w:t>推进重大项目招引落地方面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，开展精准化、多元化招商，持续推进重大项目落地。</w:t>
      </w:r>
    </w:p>
    <w:p>
      <w:pPr>
        <w:spacing w:line="58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6"/>
        </w:rPr>
      </w:pPr>
      <w:r>
        <w:rPr>
          <w:rFonts w:hint="eastAsia" w:ascii="Times New Roman" w:hAnsi="Times New Roman" w:eastAsia="楷体_GB2312"/>
          <w:bCs/>
          <w:color w:val="000000"/>
          <w:sz w:val="32"/>
          <w:szCs w:val="36"/>
        </w:rPr>
        <w:t>第六部分“保障措施”</w:t>
      </w:r>
      <w:r>
        <w:rPr>
          <w:rFonts w:hint="eastAsia" w:ascii="Times New Roman" w:hAnsi="Times New Roman" w:eastAsia="仿宋_GB2312"/>
          <w:color w:val="000000"/>
          <w:sz w:val="32"/>
          <w:szCs w:val="36"/>
        </w:rPr>
        <w:t>。通过“健全组织实施机制、深化产业调整优化、强化要素保障支持、优化企业服务机制”四方面的保障措施，来进一步提高规划的可执行、可落地性。</w:t>
      </w:r>
    </w:p>
    <w:p>
      <w:pPr>
        <w:tabs>
          <w:tab w:val="left" w:pos="720"/>
        </w:tabs>
        <w:spacing w:line="610" w:lineRule="exact"/>
        <w:ind w:firstLine="420" w:firstLineChars="200"/>
        <w:rPr>
          <w:rFonts w:ascii="Times New Roman" w:hAnsi="Times New Roman" w:eastAsia="仿宋_GB231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F"/>
    <w:rsid w:val="00065008"/>
    <w:rsid w:val="00270426"/>
    <w:rsid w:val="002A3C9C"/>
    <w:rsid w:val="003B31B7"/>
    <w:rsid w:val="003F34CF"/>
    <w:rsid w:val="004A2DEA"/>
    <w:rsid w:val="004F25A3"/>
    <w:rsid w:val="00661210"/>
    <w:rsid w:val="006A232D"/>
    <w:rsid w:val="006C442B"/>
    <w:rsid w:val="00783134"/>
    <w:rsid w:val="008550B2"/>
    <w:rsid w:val="00864CD0"/>
    <w:rsid w:val="008661E7"/>
    <w:rsid w:val="009B1F25"/>
    <w:rsid w:val="00A30601"/>
    <w:rsid w:val="00B02429"/>
    <w:rsid w:val="00D0604E"/>
    <w:rsid w:val="00D467C2"/>
    <w:rsid w:val="00DA300A"/>
    <w:rsid w:val="00DB72BD"/>
    <w:rsid w:val="00DC32AF"/>
    <w:rsid w:val="00FC4907"/>
    <w:rsid w:val="13688A76"/>
    <w:rsid w:val="1FC787C1"/>
    <w:rsid w:val="2AFF921A"/>
    <w:rsid w:val="37FF24B8"/>
    <w:rsid w:val="399E8B72"/>
    <w:rsid w:val="3FEF7A67"/>
    <w:rsid w:val="57D73F7B"/>
    <w:rsid w:val="57F774E6"/>
    <w:rsid w:val="5EF74051"/>
    <w:rsid w:val="5EFE4A4F"/>
    <w:rsid w:val="5FFBC694"/>
    <w:rsid w:val="5FFDF3BB"/>
    <w:rsid w:val="6DDEC3DF"/>
    <w:rsid w:val="6EDFB8B0"/>
    <w:rsid w:val="6EF51E79"/>
    <w:rsid w:val="6F7FBE91"/>
    <w:rsid w:val="6F906A02"/>
    <w:rsid w:val="737E577F"/>
    <w:rsid w:val="73CF724B"/>
    <w:rsid w:val="768FDD82"/>
    <w:rsid w:val="76CBE7E3"/>
    <w:rsid w:val="777BE590"/>
    <w:rsid w:val="77E2921D"/>
    <w:rsid w:val="7C527DDD"/>
    <w:rsid w:val="7D379654"/>
    <w:rsid w:val="7DFA4A76"/>
    <w:rsid w:val="7DFDFF2B"/>
    <w:rsid w:val="7DFFAD3C"/>
    <w:rsid w:val="7F3FA08A"/>
    <w:rsid w:val="7F6F79CE"/>
    <w:rsid w:val="7FE7FCB7"/>
    <w:rsid w:val="7FFFBBD9"/>
    <w:rsid w:val="9FFF3B73"/>
    <w:rsid w:val="BB3FE51B"/>
    <w:rsid w:val="C7F38F94"/>
    <w:rsid w:val="CFADA7E0"/>
    <w:rsid w:val="D37DC73D"/>
    <w:rsid w:val="DF974874"/>
    <w:rsid w:val="DFE47A88"/>
    <w:rsid w:val="DFE819B4"/>
    <w:rsid w:val="F2AF8B22"/>
    <w:rsid w:val="F3F6D5AF"/>
    <w:rsid w:val="F6EAECA9"/>
    <w:rsid w:val="F7678B41"/>
    <w:rsid w:val="FBB44D97"/>
    <w:rsid w:val="FBBFFB3C"/>
    <w:rsid w:val="FBF6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customStyle="1" w:styleId="7">
    <w:name w:val="Normal Indent1"/>
    <w:basedOn w:val="1"/>
    <w:qFormat/>
    <w:uiPriority w:val="0"/>
    <w:pPr>
      <w:ind w:firstLine="200" w:firstLineChars="200"/>
    </w:pPr>
    <w:rPr>
      <w:rFonts w:ascii="Times New Roman" w:hAnsi="Times New Roman"/>
    </w:rPr>
  </w:style>
  <w:style w:type="character" w:customStyle="1" w:styleId="8">
    <w:name w:val="正文文本缩进 字符"/>
    <w:basedOn w:val="6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文本首行缩进 2 字符"/>
    <w:basedOn w:val="8"/>
    <w:link w:val="2"/>
    <w:qFormat/>
    <w:uiPriority w:val="0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www.wps.cn/officeDocument/2018/jdeExtension" Target="JDEData.bin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397</Words>
  <Characters>2267</Characters>
  <Lines>18</Lines>
  <Paragraphs>5</Paragraphs>
  <TotalTime>3</TotalTime>
  <ScaleCrop>false</ScaleCrop>
  <LinksUpToDate>false</LinksUpToDate>
  <CharactersWithSpaces>2659</CharactersWithSpaces>
  <Application>WPS Office_11.8.2.9043_F1E327BC-269C-435d-A152-05C5408002CA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2022-06-25T16:51:00Z</dcterms:created>
  <dc:creator>高 扬</dc:creator>
  <cp:lastModifiedBy>tzfx</cp:lastModifiedBy>
  <dcterms:modified xsi:type="dcterms:W3CDTF">2022-06-27T16:08:50Z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2052-11.8.2.9043</vt:lpwstr>
  </property>
</Properties>
</file>